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720" w:rsidRDefault="002726C5" w:rsidP="00870395">
      <w:pPr>
        <w:pStyle w:val="Title"/>
        <w:spacing w:before="0"/>
        <w:rPr>
          <w:u w:val="single"/>
        </w:rPr>
      </w:pPr>
      <w:r w:rsidRPr="009574B3">
        <w:rPr>
          <w:u w:val="single"/>
        </w:rPr>
        <w:t xml:space="preserve">Statement </w:t>
      </w:r>
      <w:r w:rsidR="00CD48D0" w:rsidRPr="009574B3">
        <w:rPr>
          <w:u w:val="single"/>
        </w:rPr>
        <w:t>by</w:t>
      </w:r>
      <w:r w:rsidR="009D2E8B" w:rsidRPr="009574B3">
        <w:rPr>
          <w:u w:val="single"/>
        </w:rPr>
        <w:t xml:space="preserve"> The</w:t>
      </w:r>
      <w:r w:rsidR="00CD48D0" w:rsidRPr="009574B3">
        <w:rPr>
          <w:u w:val="single"/>
        </w:rPr>
        <w:t xml:space="preserve"> </w:t>
      </w:r>
      <w:r w:rsidR="00870395">
        <w:rPr>
          <w:u w:val="single"/>
        </w:rPr>
        <w:t xml:space="preserve"> </w:t>
      </w:r>
      <w:r w:rsidR="003A3261" w:rsidRPr="009574B3">
        <w:rPr>
          <w:u w:val="single"/>
        </w:rPr>
        <w:t>chairman of presidental advisory committee</w:t>
      </w:r>
      <w:r w:rsidR="0061423F">
        <w:rPr>
          <w:u w:val="single"/>
        </w:rPr>
        <w:t xml:space="preserve"> on</w:t>
      </w:r>
      <w:r w:rsidR="001564B7">
        <w:rPr>
          <w:u w:val="single"/>
        </w:rPr>
        <w:t xml:space="preserve"> </w:t>
      </w:r>
      <w:r w:rsidR="0061423F">
        <w:rPr>
          <w:u w:val="single"/>
        </w:rPr>
        <w:t xml:space="preserve">EXPORTs &amp; </w:t>
      </w:r>
      <w:r w:rsidR="005A5720">
        <w:rPr>
          <w:u w:val="single"/>
        </w:rPr>
        <w:t xml:space="preserve">Industrial development </w:t>
      </w:r>
    </w:p>
    <w:p w:rsidR="00F51413" w:rsidRPr="009574B3" w:rsidRDefault="00CD48D0" w:rsidP="00870395">
      <w:pPr>
        <w:pStyle w:val="Title"/>
        <w:spacing w:before="0"/>
        <w:rPr>
          <w:u w:val="single"/>
        </w:rPr>
      </w:pPr>
      <w:r w:rsidRPr="009574B3">
        <w:rPr>
          <w:u w:val="single"/>
        </w:rPr>
        <w:t>for</w:t>
      </w:r>
      <w:r w:rsidR="002726C5" w:rsidRPr="009574B3">
        <w:rPr>
          <w:u w:val="single"/>
        </w:rPr>
        <w:t xml:space="preserve"> the</w:t>
      </w:r>
      <w:r w:rsidRPr="009574B3">
        <w:rPr>
          <w:u w:val="single"/>
        </w:rPr>
        <w:t xml:space="preserve"> </w:t>
      </w:r>
      <w:r w:rsidR="003A3261" w:rsidRPr="009574B3">
        <w:rPr>
          <w:u w:val="single"/>
        </w:rPr>
        <w:t xml:space="preserve">uganda-south sudan business forum in juba </w:t>
      </w:r>
    </w:p>
    <w:p w:rsidR="008720E7" w:rsidRDefault="003A3261" w:rsidP="00870395">
      <w:pPr>
        <w:pStyle w:val="Title"/>
        <w:spacing w:before="0"/>
        <w:rPr>
          <w:u w:val="single"/>
        </w:rPr>
      </w:pPr>
      <w:r w:rsidRPr="009574B3">
        <w:rPr>
          <w:u w:val="single"/>
        </w:rPr>
        <w:t>july 2022</w:t>
      </w:r>
    </w:p>
    <w:p w:rsidR="00870395" w:rsidRPr="00870395" w:rsidRDefault="00870395" w:rsidP="00870395"/>
    <w:p w:rsidR="00091A9A" w:rsidRDefault="00091A9A" w:rsidP="00F51413">
      <w:r>
        <w:t>Hon</w:t>
      </w:r>
      <w:r w:rsidR="0047334A">
        <w:t>.</w:t>
      </w:r>
      <w:r>
        <w:t xml:space="preserve"> Minister</w:t>
      </w:r>
      <w:r w:rsidR="00463E1B">
        <w:t>s …..</w:t>
      </w:r>
    </w:p>
    <w:p w:rsidR="00F51413" w:rsidRDefault="00F51413" w:rsidP="00F51413">
      <w:r w:rsidRPr="00F51413">
        <w:t>Your Excellencies</w:t>
      </w:r>
    </w:p>
    <w:p w:rsidR="0047334A" w:rsidRPr="00F51413" w:rsidRDefault="0047334A" w:rsidP="00F51413">
      <w:r w:rsidRPr="0047334A">
        <w:t>Heads of Diplomatic missions,</w:t>
      </w:r>
    </w:p>
    <w:p w:rsidR="00F51413" w:rsidRPr="00F51413" w:rsidRDefault="0047334A" w:rsidP="00F51413">
      <w:r>
        <w:t xml:space="preserve">Our </w:t>
      </w:r>
      <w:r w:rsidR="00F51413" w:rsidRPr="00F51413">
        <w:t>Distinguished Business leaders,</w:t>
      </w:r>
    </w:p>
    <w:p w:rsidR="00ED4B4B" w:rsidRPr="00F51413" w:rsidRDefault="00F51413" w:rsidP="00F51413">
      <w:r w:rsidRPr="00F51413">
        <w:t>Ladies and Gentlemen,</w:t>
      </w:r>
    </w:p>
    <w:p w:rsidR="00F51413" w:rsidRDefault="00F51413" w:rsidP="00F51413"/>
    <w:p w:rsidR="00E43B80" w:rsidRPr="00245EB6" w:rsidRDefault="00303D6B" w:rsidP="00F51413">
      <w:pPr>
        <w:rPr>
          <w:color w:val="000000"/>
        </w:rPr>
      </w:pPr>
      <w:r w:rsidRPr="00245EB6">
        <w:t>I bring you w</w:t>
      </w:r>
      <w:r w:rsidR="00E43B80" w:rsidRPr="00245EB6">
        <w:t>arm greetings from the Republic of Uganda and</w:t>
      </w:r>
      <w:r w:rsidR="00A04C3E">
        <w:t xml:space="preserve"> I wish to</w:t>
      </w:r>
      <w:r w:rsidR="00E43B80" w:rsidRPr="00245EB6">
        <w:t xml:space="preserve"> </w:t>
      </w:r>
      <w:r w:rsidR="0047334A">
        <w:t xml:space="preserve">thank you for fostering the efforts of building trade and investment between our 2 countries. </w:t>
      </w:r>
    </w:p>
    <w:p w:rsidR="00303D6B" w:rsidRPr="00126C33" w:rsidRDefault="0047334A" w:rsidP="00F51413">
      <w:pPr>
        <w:pStyle w:val="Heading1"/>
        <w:rPr>
          <w:rFonts w:ascii="Tahoma" w:hAnsi="Tahoma" w:cs="Tahoma"/>
          <w:sz w:val="24"/>
          <w:szCs w:val="24"/>
        </w:rPr>
      </w:pPr>
      <w:r w:rsidRPr="00126C33">
        <w:rPr>
          <w:rFonts w:ascii="Tahoma" w:hAnsi="Tahoma" w:cs="Tahoma"/>
          <w:sz w:val="24"/>
          <w:szCs w:val="24"/>
        </w:rPr>
        <w:t>Uganda -South Sudan Business Forum</w:t>
      </w:r>
      <w:r w:rsidR="00764B76">
        <w:rPr>
          <w:rFonts w:ascii="Tahoma" w:hAnsi="Tahoma" w:cs="Tahoma"/>
          <w:sz w:val="24"/>
          <w:szCs w:val="24"/>
        </w:rPr>
        <w:t xml:space="preserve"> 2022</w:t>
      </w:r>
    </w:p>
    <w:p w:rsidR="007702D0" w:rsidRPr="00F3752C" w:rsidRDefault="008C05A2" w:rsidP="00973EDA">
      <w:pPr>
        <w:rPr>
          <w:color w:val="000000" w:themeColor="text1"/>
        </w:rPr>
      </w:pPr>
      <w:r>
        <w:t>Today</w:t>
      </w:r>
      <w:r w:rsidR="00863C0B" w:rsidRPr="00245EB6">
        <w:t xml:space="preserve">, </w:t>
      </w:r>
      <w:r w:rsidR="008A5873" w:rsidRPr="00245EB6">
        <w:t xml:space="preserve">approximately </w:t>
      </w:r>
      <w:r>
        <w:t>200 business people</w:t>
      </w:r>
      <w:r w:rsidR="00973EDA">
        <w:t xml:space="preserve"> from Uganda and South Sudan have</w:t>
      </w:r>
      <w:r w:rsidR="00FC62A7">
        <w:t xml:space="preserve"> </w:t>
      </w:r>
      <w:r w:rsidR="00966B96" w:rsidRPr="00245EB6">
        <w:t>converge</w:t>
      </w:r>
      <w:r w:rsidR="00FC62A7">
        <w:t xml:space="preserve">d in </w:t>
      </w:r>
      <w:r w:rsidR="00A04C3E">
        <w:t>Juba</w:t>
      </w:r>
      <w:r w:rsidR="00FC62A7">
        <w:t xml:space="preserve"> </w:t>
      </w:r>
      <w:r w:rsidR="008C283C" w:rsidRPr="00245EB6">
        <w:t xml:space="preserve">to participate in </w:t>
      </w:r>
      <w:r w:rsidR="00FC62A7">
        <w:t xml:space="preserve">the </w:t>
      </w:r>
      <w:r w:rsidR="00A04C3E">
        <w:t xml:space="preserve">Uganda – South Sudan </w:t>
      </w:r>
      <w:r w:rsidR="00973EDA">
        <w:t>B</w:t>
      </w:r>
      <w:r w:rsidR="00FC62A7">
        <w:t xml:space="preserve">usiness forum </w:t>
      </w:r>
      <w:r w:rsidR="007F6E84" w:rsidRPr="00245EB6">
        <w:t>with</w:t>
      </w:r>
      <w:r w:rsidR="00E10584" w:rsidRPr="00245EB6">
        <w:t xml:space="preserve"> </w:t>
      </w:r>
      <w:r w:rsidR="00A04C3E">
        <w:t xml:space="preserve">high expectations to develop </w:t>
      </w:r>
      <w:r w:rsidR="00764B76">
        <w:t xml:space="preserve">deep and lasting </w:t>
      </w:r>
      <w:r w:rsidR="00A04C3E">
        <w:t xml:space="preserve">business relations that will strengthen and enhance </w:t>
      </w:r>
      <w:r w:rsidR="00217DBE">
        <w:t>open trade and mutual investment</w:t>
      </w:r>
      <w:r w:rsidR="00973EDA">
        <w:t>s</w:t>
      </w:r>
      <w:r w:rsidR="00217DBE">
        <w:t xml:space="preserve">, </w:t>
      </w:r>
      <w:r w:rsidR="00A04C3E">
        <w:t>leading to reduction</w:t>
      </w:r>
      <w:r w:rsidR="00217DBE">
        <w:t xml:space="preserve"> in </w:t>
      </w:r>
      <w:r w:rsidR="00A04C3E">
        <w:t>poverty</w:t>
      </w:r>
      <w:r w:rsidR="00217DBE">
        <w:t xml:space="preserve"> levels</w:t>
      </w:r>
      <w:r w:rsidR="00A04C3E">
        <w:t xml:space="preserve"> and </w:t>
      </w:r>
      <w:r w:rsidR="00A04C3E" w:rsidRPr="009A2FD6">
        <w:rPr>
          <w:color w:val="000000" w:themeColor="text1"/>
        </w:rPr>
        <w:t>insecurities among our people.</w:t>
      </w:r>
      <w:r w:rsidR="006D54B3" w:rsidRPr="009A2FD6">
        <w:rPr>
          <w:color w:val="000000" w:themeColor="text1"/>
        </w:rPr>
        <w:t xml:space="preserve"> </w:t>
      </w:r>
      <w:r w:rsidR="00100AF5" w:rsidRPr="009A2FD6">
        <w:rPr>
          <w:color w:val="000000" w:themeColor="text1"/>
        </w:rPr>
        <w:t xml:space="preserve">PACEID </w:t>
      </w:r>
      <w:r w:rsidR="00D947EA" w:rsidRPr="009A2FD6">
        <w:rPr>
          <w:color w:val="000000" w:themeColor="text1"/>
        </w:rPr>
        <w:t xml:space="preserve">supported </w:t>
      </w:r>
      <w:r w:rsidR="00100AF5" w:rsidRPr="009A2FD6">
        <w:rPr>
          <w:color w:val="000000" w:themeColor="text1"/>
        </w:rPr>
        <w:t>a</w:t>
      </w:r>
      <w:r w:rsidR="006D54B3" w:rsidRPr="009A2FD6">
        <w:rPr>
          <w:color w:val="000000" w:themeColor="text1"/>
        </w:rPr>
        <w:t xml:space="preserve"> similar event </w:t>
      </w:r>
      <w:r w:rsidR="00100AF5" w:rsidRPr="009A2FD6">
        <w:rPr>
          <w:color w:val="000000" w:themeColor="text1"/>
        </w:rPr>
        <w:t xml:space="preserve">in DRC </w:t>
      </w:r>
      <w:r w:rsidR="002E30C6" w:rsidRPr="009A2FD6">
        <w:rPr>
          <w:color w:val="000000" w:themeColor="text1"/>
        </w:rPr>
        <w:t xml:space="preserve">last month </w:t>
      </w:r>
      <w:r w:rsidR="00100AF5" w:rsidRPr="00F3752C">
        <w:rPr>
          <w:color w:val="000000" w:themeColor="text1"/>
        </w:rPr>
        <w:t>and we saw</w:t>
      </w:r>
      <w:r w:rsidR="002E30C6" w:rsidRPr="00F3752C">
        <w:rPr>
          <w:color w:val="000000" w:themeColor="text1"/>
        </w:rPr>
        <w:t xml:space="preserve"> tremendous success </w:t>
      </w:r>
      <w:r w:rsidR="00100AF5" w:rsidRPr="00F3752C">
        <w:rPr>
          <w:color w:val="000000" w:themeColor="text1"/>
        </w:rPr>
        <w:t>with over 300 business people registering business deals in Kinshasa and Goma</w:t>
      </w:r>
      <w:r w:rsidR="002E30C6" w:rsidRPr="00F3752C">
        <w:rPr>
          <w:color w:val="000000" w:themeColor="text1"/>
        </w:rPr>
        <w:t xml:space="preserve">.  </w:t>
      </w:r>
    </w:p>
    <w:p w:rsidR="002E30C6" w:rsidRPr="00F3752C" w:rsidRDefault="00693523" w:rsidP="00973EDA">
      <w:pPr>
        <w:rPr>
          <w:color w:val="000000" w:themeColor="text1"/>
        </w:rPr>
      </w:pPr>
      <w:r w:rsidRPr="00F3752C">
        <w:rPr>
          <w:color w:val="000000" w:themeColor="text1"/>
        </w:rPr>
        <w:t>The Presidential Advisory Committee on Exports and Industrial Development</w:t>
      </w:r>
      <w:r w:rsidR="002E30C6" w:rsidRPr="00F3752C">
        <w:rPr>
          <w:color w:val="000000" w:themeColor="text1"/>
        </w:rPr>
        <w:t xml:space="preserve"> (PACEID)</w:t>
      </w:r>
      <w:r w:rsidRPr="00F3752C">
        <w:rPr>
          <w:color w:val="000000" w:themeColor="text1"/>
        </w:rPr>
        <w:t xml:space="preserve"> was established in March 2022 </w:t>
      </w:r>
      <w:r w:rsidR="001F4BA3" w:rsidRPr="00F3752C">
        <w:rPr>
          <w:color w:val="000000" w:themeColor="text1"/>
        </w:rPr>
        <w:t>by H.E the President of Uganda facilitate business people to address strategic and operational bottlenecks that</w:t>
      </w:r>
      <w:r w:rsidR="00291798" w:rsidRPr="00F3752C">
        <w:rPr>
          <w:color w:val="000000" w:themeColor="text1"/>
        </w:rPr>
        <w:t xml:space="preserve"> are currently</w:t>
      </w:r>
      <w:r w:rsidR="001F4BA3" w:rsidRPr="00F3752C">
        <w:rPr>
          <w:color w:val="000000" w:themeColor="text1"/>
        </w:rPr>
        <w:t xml:space="preserve"> impede trade. </w:t>
      </w:r>
      <w:r w:rsidR="00B961D0" w:rsidRPr="00F3752C">
        <w:rPr>
          <w:color w:val="000000" w:themeColor="text1"/>
        </w:rPr>
        <w:t>Therefore,</w:t>
      </w:r>
      <w:r w:rsidR="001F4BA3" w:rsidRPr="00F3752C">
        <w:rPr>
          <w:color w:val="000000" w:themeColor="text1"/>
        </w:rPr>
        <w:t xml:space="preserve"> as PACEID success of search trade missions </w:t>
      </w:r>
      <w:r w:rsidR="00291798" w:rsidRPr="00F3752C">
        <w:rPr>
          <w:color w:val="000000" w:themeColor="text1"/>
        </w:rPr>
        <w:t xml:space="preserve">that have been put together by both the public and private sector institutions </w:t>
      </w:r>
      <w:r w:rsidR="001F4BA3" w:rsidRPr="00F3752C">
        <w:rPr>
          <w:color w:val="000000" w:themeColor="text1"/>
        </w:rPr>
        <w:t xml:space="preserve">is a clear indication </w:t>
      </w:r>
      <w:r w:rsidR="002E30C6" w:rsidRPr="00F3752C">
        <w:rPr>
          <w:color w:val="000000" w:themeColor="text1"/>
        </w:rPr>
        <w:t xml:space="preserve">that </w:t>
      </w:r>
      <w:r w:rsidR="00100AF5" w:rsidRPr="00F3752C">
        <w:rPr>
          <w:color w:val="000000" w:themeColor="text1"/>
        </w:rPr>
        <w:t xml:space="preserve">our </w:t>
      </w:r>
      <w:r w:rsidR="002E30C6" w:rsidRPr="00F3752C">
        <w:rPr>
          <w:color w:val="000000" w:themeColor="text1"/>
        </w:rPr>
        <w:t xml:space="preserve">government’s (GOU and GOSS) are committed </w:t>
      </w:r>
      <w:r w:rsidR="00291798" w:rsidRPr="00F3752C">
        <w:rPr>
          <w:color w:val="000000" w:themeColor="text1"/>
        </w:rPr>
        <w:t>to providing an</w:t>
      </w:r>
      <w:r w:rsidR="00E6318A" w:rsidRPr="00F3752C">
        <w:rPr>
          <w:color w:val="000000" w:themeColor="text1"/>
        </w:rPr>
        <w:t xml:space="preserve"> enabl</w:t>
      </w:r>
      <w:r w:rsidR="00291798" w:rsidRPr="00F3752C">
        <w:rPr>
          <w:color w:val="000000" w:themeColor="text1"/>
        </w:rPr>
        <w:t>ing</w:t>
      </w:r>
      <w:r w:rsidR="00E6318A" w:rsidRPr="00F3752C">
        <w:rPr>
          <w:color w:val="000000" w:themeColor="text1"/>
        </w:rPr>
        <w:t xml:space="preserve"> environment for our business people to flourish.  </w:t>
      </w:r>
      <w:r w:rsidR="00291798" w:rsidRPr="00F3752C">
        <w:rPr>
          <w:color w:val="000000" w:themeColor="text1"/>
        </w:rPr>
        <w:t>I wish to thank</w:t>
      </w:r>
      <w:r w:rsidR="00F965D1" w:rsidRPr="00F3752C">
        <w:rPr>
          <w:color w:val="000000" w:themeColor="text1"/>
        </w:rPr>
        <w:t xml:space="preserve"> our presidents H.E Salva Kiir and H.E Yoweri Museveni for their support</w:t>
      </w:r>
      <w:r w:rsidR="00100AF5" w:rsidRPr="00F3752C">
        <w:rPr>
          <w:color w:val="000000" w:themeColor="text1"/>
        </w:rPr>
        <w:t xml:space="preserve"> and fore s</w:t>
      </w:r>
      <w:r w:rsidR="00A30ABC" w:rsidRPr="00F3752C">
        <w:rPr>
          <w:color w:val="000000" w:themeColor="text1"/>
        </w:rPr>
        <w:t>ight.</w:t>
      </w:r>
    </w:p>
    <w:p w:rsidR="00100AF5" w:rsidRPr="00F3752C" w:rsidRDefault="00100AF5" w:rsidP="00973EDA">
      <w:pPr>
        <w:rPr>
          <w:b/>
          <w:bCs/>
          <w:color w:val="000000" w:themeColor="text1"/>
        </w:rPr>
      </w:pPr>
    </w:p>
    <w:p w:rsidR="007702D0" w:rsidRPr="00F3752C" w:rsidRDefault="007702D0" w:rsidP="00973EDA">
      <w:pPr>
        <w:rPr>
          <w:b/>
          <w:bCs/>
          <w:color w:val="000000" w:themeColor="text1"/>
        </w:rPr>
      </w:pPr>
      <w:r w:rsidRPr="00F3752C">
        <w:rPr>
          <w:b/>
          <w:bCs/>
          <w:color w:val="000000" w:themeColor="text1"/>
        </w:rPr>
        <w:t>Theme</w:t>
      </w:r>
      <w:r w:rsidR="00973EDA" w:rsidRPr="00F3752C">
        <w:rPr>
          <w:b/>
          <w:bCs/>
          <w:color w:val="000000" w:themeColor="text1"/>
        </w:rPr>
        <w:t xml:space="preserve"> </w:t>
      </w:r>
    </w:p>
    <w:p w:rsidR="002E057A" w:rsidRPr="00F3752C" w:rsidRDefault="00973EDA" w:rsidP="00990839">
      <w:pPr>
        <w:rPr>
          <w:color w:val="000000" w:themeColor="text1"/>
        </w:rPr>
      </w:pPr>
      <w:r w:rsidRPr="00F3752C">
        <w:rPr>
          <w:color w:val="000000" w:themeColor="text1"/>
        </w:rPr>
        <w:t xml:space="preserve">The business forum under the theme under the theme </w:t>
      </w:r>
      <w:r w:rsidRPr="00F3752C">
        <w:rPr>
          <w:b/>
          <w:bCs/>
          <w:color w:val="000000" w:themeColor="text1"/>
        </w:rPr>
        <w:t>“Enhancing Bilateral Trade and Investment through Industrialization and Infrastructure Development “</w:t>
      </w:r>
      <w:r w:rsidRPr="00F3752C">
        <w:rPr>
          <w:color w:val="000000" w:themeColor="text1"/>
        </w:rPr>
        <w:t>directly resonates</w:t>
      </w:r>
      <w:r w:rsidRPr="00F3752C">
        <w:rPr>
          <w:b/>
          <w:bCs/>
          <w:color w:val="000000" w:themeColor="text1"/>
        </w:rPr>
        <w:t xml:space="preserve"> </w:t>
      </w:r>
      <w:r w:rsidR="002E057A" w:rsidRPr="00F3752C">
        <w:rPr>
          <w:color w:val="000000" w:themeColor="text1"/>
        </w:rPr>
        <w:t>with our country’s</w:t>
      </w:r>
      <w:r w:rsidRPr="00F3752C">
        <w:rPr>
          <w:color w:val="000000" w:themeColor="text1"/>
        </w:rPr>
        <w:t xml:space="preserve"> </w:t>
      </w:r>
      <w:r w:rsidR="002E057A" w:rsidRPr="00F3752C">
        <w:rPr>
          <w:color w:val="000000" w:themeColor="text1"/>
        </w:rPr>
        <w:t xml:space="preserve">precise needs. </w:t>
      </w:r>
      <w:r w:rsidR="00217DBE" w:rsidRPr="00F3752C">
        <w:rPr>
          <w:color w:val="000000" w:themeColor="text1"/>
        </w:rPr>
        <w:t>Republic of South Sudan and Uganda share strong cultural, economic and political ties and are both member states of the East African Community.</w:t>
      </w:r>
      <w:r w:rsidR="00990839" w:rsidRPr="00F3752C">
        <w:rPr>
          <w:color w:val="000000" w:themeColor="text1"/>
        </w:rPr>
        <w:t xml:space="preserve"> Our 2 countries are </w:t>
      </w:r>
      <w:r w:rsidR="002E057A" w:rsidRPr="00F3752C">
        <w:rPr>
          <w:color w:val="000000" w:themeColor="text1"/>
        </w:rPr>
        <w:t xml:space="preserve">also </w:t>
      </w:r>
      <w:r w:rsidR="00990839" w:rsidRPr="00F3752C">
        <w:rPr>
          <w:color w:val="000000" w:themeColor="text1"/>
        </w:rPr>
        <w:t>both landlocked, with almost 500km of border between them</w:t>
      </w:r>
      <w:r w:rsidR="002E057A" w:rsidRPr="00F3752C">
        <w:rPr>
          <w:color w:val="000000" w:themeColor="text1"/>
        </w:rPr>
        <w:t xml:space="preserve">, making this forum a convergence of like minds. </w:t>
      </w:r>
    </w:p>
    <w:p w:rsidR="002E057A" w:rsidRPr="00F3752C" w:rsidRDefault="002E057A" w:rsidP="00990839">
      <w:pPr>
        <w:rPr>
          <w:color w:val="000000" w:themeColor="text1"/>
        </w:rPr>
      </w:pPr>
    </w:p>
    <w:p w:rsidR="007702D0" w:rsidRPr="00F3752C" w:rsidRDefault="007702D0" w:rsidP="007702D0">
      <w:pPr>
        <w:rPr>
          <w:b/>
          <w:bCs/>
          <w:color w:val="000000" w:themeColor="text1"/>
        </w:rPr>
      </w:pPr>
      <w:r w:rsidRPr="00F3752C">
        <w:rPr>
          <w:b/>
          <w:bCs/>
          <w:color w:val="000000" w:themeColor="text1"/>
        </w:rPr>
        <w:t xml:space="preserve">Trade </w:t>
      </w:r>
      <w:r w:rsidR="00CF7AC1" w:rsidRPr="00F3752C">
        <w:rPr>
          <w:b/>
          <w:bCs/>
          <w:color w:val="000000" w:themeColor="text1"/>
        </w:rPr>
        <w:t xml:space="preserve">and Investment </w:t>
      </w:r>
    </w:p>
    <w:p w:rsidR="00BC030A" w:rsidRPr="00F3752C" w:rsidRDefault="007702D0" w:rsidP="00BF414A">
      <w:pPr>
        <w:rPr>
          <w:color w:val="000000" w:themeColor="text1"/>
        </w:rPr>
      </w:pPr>
      <w:r w:rsidRPr="00F3752C">
        <w:rPr>
          <w:color w:val="000000" w:themeColor="text1"/>
        </w:rPr>
        <w:t xml:space="preserve">According to statistics over the last </w:t>
      </w:r>
      <w:r w:rsidR="009438FA" w:rsidRPr="00F3752C">
        <w:rPr>
          <w:color w:val="000000" w:themeColor="text1"/>
        </w:rPr>
        <w:t>10</w:t>
      </w:r>
      <w:r w:rsidRPr="00F3752C">
        <w:rPr>
          <w:color w:val="000000" w:themeColor="text1"/>
        </w:rPr>
        <w:t xml:space="preserve"> years</w:t>
      </w:r>
      <w:r w:rsidR="009438FA" w:rsidRPr="00F3752C">
        <w:rPr>
          <w:color w:val="000000" w:themeColor="text1"/>
        </w:rPr>
        <w:t xml:space="preserve"> (2012-2022)</w:t>
      </w:r>
      <w:r w:rsidRPr="00F3752C">
        <w:rPr>
          <w:color w:val="000000" w:themeColor="text1"/>
        </w:rPr>
        <w:t xml:space="preserve"> trade between Uganda and </w:t>
      </w:r>
      <w:r w:rsidR="00BC030A" w:rsidRPr="00F3752C">
        <w:rPr>
          <w:color w:val="000000" w:themeColor="text1"/>
        </w:rPr>
        <w:t xml:space="preserve">South Sudan has increased </w:t>
      </w:r>
      <w:r w:rsidR="00803EAB" w:rsidRPr="00F3752C">
        <w:rPr>
          <w:color w:val="000000" w:themeColor="text1"/>
        </w:rPr>
        <w:t>by</w:t>
      </w:r>
      <w:r w:rsidR="00FF5DD5" w:rsidRPr="00F3752C">
        <w:rPr>
          <w:color w:val="000000" w:themeColor="text1"/>
        </w:rPr>
        <w:t xml:space="preserve"> </w:t>
      </w:r>
      <w:r w:rsidR="00803EAB" w:rsidRPr="00F3752C">
        <w:rPr>
          <w:color w:val="000000" w:themeColor="text1"/>
        </w:rPr>
        <w:t>100</w:t>
      </w:r>
      <w:r w:rsidR="00BC030A" w:rsidRPr="00F3752C">
        <w:rPr>
          <w:color w:val="000000" w:themeColor="text1"/>
        </w:rPr>
        <w:t>% from USD</w:t>
      </w:r>
      <w:r w:rsidR="00803EAB" w:rsidRPr="00F3752C">
        <w:rPr>
          <w:color w:val="000000" w:themeColor="text1"/>
        </w:rPr>
        <w:t>1.9K</w:t>
      </w:r>
      <w:r w:rsidR="00BC030A" w:rsidRPr="00F3752C">
        <w:rPr>
          <w:color w:val="000000" w:themeColor="text1"/>
        </w:rPr>
        <w:t xml:space="preserve"> in 2012 to USD </w:t>
      </w:r>
      <w:r w:rsidR="00803EAB" w:rsidRPr="00F3752C">
        <w:rPr>
          <w:color w:val="000000" w:themeColor="text1"/>
        </w:rPr>
        <w:t>492M</w:t>
      </w:r>
      <w:r w:rsidR="00BC030A" w:rsidRPr="00F3752C">
        <w:rPr>
          <w:color w:val="000000" w:themeColor="text1"/>
        </w:rPr>
        <w:t xml:space="preserve"> in 202</w:t>
      </w:r>
      <w:r w:rsidR="00803EAB" w:rsidRPr="00F3752C">
        <w:rPr>
          <w:color w:val="000000" w:themeColor="text1"/>
        </w:rPr>
        <w:t>1</w:t>
      </w:r>
      <w:r w:rsidR="00BC030A" w:rsidRPr="00F3752C">
        <w:rPr>
          <w:color w:val="000000" w:themeColor="text1"/>
        </w:rPr>
        <w:t>. This, not taking into account of the large volumes of informal trade that happens across our borders.</w:t>
      </w:r>
      <w:r w:rsidR="00BF414A" w:rsidRPr="00F3752C">
        <w:rPr>
          <w:color w:val="000000" w:themeColor="text1"/>
        </w:rPr>
        <w:t xml:space="preserve"> South Sudan is </w:t>
      </w:r>
      <w:r w:rsidR="00803EAB" w:rsidRPr="00F3752C">
        <w:rPr>
          <w:color w:val="000000" w:themeColor="text1"/>
        </w:rPr>
        <w:t xml:space="preserve">one of Uganda’s key </w:t>
      </w:r>
      <w:r w:rsidR="00BF414A" w:rsidRPr="00F3752C">
        <w:rPr>
          <w:color w:val="000000" w:themeColor="text1"/>
        </w:rPr>
        <w:t>strategic trading and investment partner for Uganda</w:t>
      </w:r>
      <w:r w:rsidR="00803EAB" w:rsidRPr="00F3752C">
        <w:rPr>
          <w:color w:val="000000" w:themeColor="text1"/>
        </w:rPr>
        <w:t xml:space="preserve"> in both products and services. </w:t>
      </w:r>
    </w:p>
    <w:p w:rsidR="005362D7" w:rsidRDefault="005362D7" w:rsidP="00BF41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6"/>
        <w:gridCol w:w="957"/>
        <w:gridCol w:w="958"/>
        <w:gridCol w:w="959"/>
        <w:gridCol w:w="959"/>
        <w:gridCol w:w="959"/>
        <w:gridCol w:w="959"/>
        <w:gridCol w:w="959"/>
        <w:gridCol w:w="959"/>
        <w:gridCol w:w="959"/>
      </w:tblGrid>
      <w:tr w:rsidR="005362D7">
        <w:trPr>
          <w:trHeight w:val="348"/>
        </w:trPr>
        <w:tc>
          <w:tcPr>
            <w:tcW w:w="1384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5362D7">
        <w:trPr>
          <w:trHeight w:val="348"/>
        </w:trPr>
        <w:tc>
          <w:tcPr>
            <w:tcW w:w="1384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Exports (USD 000)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355.9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482.5</w:t>
            </w:r>
          </w:p>
        </w:tc>
      </w:tr>
      <w:tr w:rsidR="005362D7">
        <w:trPr>
          <w:trHeight w:val="348"/>
        </w:trPr>
        <w:tc>
          <w:tcPr>
            <w:tcW w:w="1384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Imports (USD 000)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</w:tr>
      <w:tr w:rsidR="005362D7">
        <w:trPr>
          <w:trHeight w:val="360"/>
        </w:trPr>
        <w:tc>
          <w:tcPr>
            <w:tcW w:w="1384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Trade 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174.2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268.0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244.4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307.8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360.7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445.5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492.7</w:t>
            </w:r>
          </w:p>
        </w:tc>
      </w:tr>
      <w:tr w:rsidR="005362D7">
        <w:trPr>
          <w:trHeight w:val="360"/>
        </w:trPr>
        <w:tc>
          <w:tcPr>
            <w:tcW w:w="2110" w:type="dxa"/>
            <w:gridSpan w:val="2"/>
            <w:shd w:val="clear" w:color="auto" w:fill="auto"/>
            <w:noWrap/>
            <w:hideMark/>
          </w:tcPr>
          <w:p w:rsidR="005362D7" w:rsidRDefault="005362D7" w:rsidP="00536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 (BOU)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2D7" w:rsidRDefault="0053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5362D7" w:rsidRDefault="005362D7">
            <w:pPr>
              <w:rPr>
                <w:sz w:val="20"/>
                <w:szCs w:val="20"/>
              </w:rPr>
            </w:pPr>
          </w:p>
        </w:tc>
      </w:tr>
    </w:tbl>
    <w:p w:rsidR="005362D7" w:rsidRDefault="005362D7" w:rsidP="00BF414A"/>
    <w:p w:rsidR="008E1CC1" w:rsidRDefault="008E1CC1" w:rsidP="00BF414A">
      <w:r w:rsidRPr="008E1CC1">
        <w:t xml:space="preserve">It’s worthy of mention, that </w:t>
      </w:r>
      <w:r>
        <w:t xml:space="preserve">Uganda </w:t>
      </w:r>
      <w:r w:rsidRPr="008E1CC1">
        <w:t>Government is at the forefront of promoting regional integration</w:t>
      </w:r>
      <w:r w:rsidR="00803EAB">
        <w:t xml:space="preserve"> </w:t>
      </w:r>
      <w:r w:rsidR="00AE3EF5">
        <w:t xml:space="preserve">in order to harness the benefits. The </w:t>
      </w:r>
      <w:r w:rsidRPr="008E1CC1">
        <w:t>E</w:t>
      </w:r>
      <w:r w:rsidR="00803EAB">
        <w:t>AC</w:t>
      </w:r>
      <w:r w:rsidRPr="008E1CC1">
        <w:t xml:space="preserve"> compris</w:t>
      </w:r>
      <w:r>
        <w:t>ing</w:t>
      </w:r>
      <w:r w:rsidRPr="008E1CC1">
        <w:t xml:space="preserve"> of </w:t>
      </w:r>
      <w:r>
        <w:t xml:space="preserve">7 </w:t>
      </w:r>
      <w:r w:rsidRPr="008E1CC1">
        <w:t xml:space="preserve">member states </w:t>
      </w:r>
      <w:r>
        <w:t>with the recent inclusion of DRC</w:t>
      </w:r>
      <w:r w:rsidR="003B7662">
        <w:t xml:space="preserve"> </w:t>
      </w:r>
      <w:r w:rsidR="00AE3EF5">
        <w:t>has a</w:t>
      </w:r>
      <w:r w:rsidR="003B7662">
        <w:t xml:space="preserve"> </w:t>
      </w:r>
      <w:r w:rsidRPr="008E1CC1">
        <w:t xml:space="preserve">market of </w:t>
      </w:r>
      <w:r>
        <w:t>over 300</w:t>
      </w:r>
      <w:r w:rsidRPr="008E1CC1">
        <w:t xml:space="preserve"> million consumers</w:t>
      </w:r>
      <w:r w:rsidR="00AE3EF5">
        <w:t xml:space="preserve">, </w:t>
      </w:r>
      <w:r w:rsidR="00E768F0" w:rsidRPr="00E768F0">
        <w:t>AfCFTA</w:t>
      </w:r>
      <w:r w:rsidR="00E768F0">
        <w:t xml:space="preserve"> (54 member states) with </w:t>
      </w:r>
      <w:r w:rsidRPr="008E1CC1">
        <w:t xml:space="preserve">a market of </w:t>
      </w:r>
      <w:r w:rsidR="00E768F0">
        <w:t>1.3 b</w:t>
      </w:r>
      <w:r w:rsidRPr="008E1CC1">
        <w:t>illion consumers</w:t>
      </w:r>
      <w:r w:rsidR="00E768F0">
        <w:t xml:space="preserve"> makes regional trade </w:t>
      </w:r>
      <w:r w:rsidR="003B7662">
        <w:t>the right thing to do</w:t>
      </w:r>
      <w:r w:rsidRPr="008E1CC1">
        <w:t xml:space="preserve">.  I </w:t>
      </w:r>
      <w:r w:rsidR="003B7662">
        <w:t xml:space="preserve">therefore encourage Uganda and South Sudan business people develop strong business </w:t>
      </w:r>
      <w:r w:rsidRPr="008E1CC1">
        <w:t>partner</w:t>
      </w:r>
      <w:r w:rsidR="003B7662">
        <w:t>ships</w:t>
      </w:r>
      <w:r w:rsidRPr="008E1CC1">
        <w:t xml:space="preserve"> in trade and investment </w:t>
      </w:r>
      <w:r w:rsidR="00AE3EF5">
        <w:t>to take advantage of the AfCFTA</w:t>
      </w:r>
      <w:r w:rsidRPr="008E1CC1">
        <w:t>.</w:t>
      </w:r>
    </w:p>
    <w:p w:rsidR="00AE3EF5" w:rsidRDefault="00CF7AC1" w:rsidP="00BF414A">
      <w:r>
        <w:t xml:space="preserve">In the past traders have had a </w:t>
      </w:r>
      <w:r w:rsidR="00AE3EF5">
        <w:t>series challenge</w:t>
      </w:r>
      <w:r w:rsidR="004F1307">
        <w:t xml:space="preserve"> some of which were resolved and others still pending. I want to assure our business people that both governments are working together to ensure all these are handled. </w:t>
      </w:r>
    </w:p>
    <w:p w:rsidR="00BF414A" w:rsidRDefault="004F1307" w:rsidP="00BF414A">
      <w:r>
        <w:t xml:space="preserve">This business forum and many other efforts have been put in place to ensure proper and smooth business between Uganda and South Sudan. </w:t>
      </w:r>
      <w:r w:rsidR="006F19D1">
        <w:t>Uganda government is clos</w:t>
      </w:r>
      <w:r w:rsidR="00AE3EF5">
        <w:t>ely</w:t>
      </w:r>
      <w:r w:rsidR="006F19D1">
        <w:t xml:space="preserve"> working with South Sudan to </w:t>
      </w:r>
      <w:r w:rsidR="006F19D1" w:rsidRPr="006F19D1">
        <w:t xml:space="preserve">put in place favorable </w:t>
      </w:r>
      <w:r w:rsidR="006F19D1">
        <w:t xml:space="preserve">trade and </w:t>
      </w:r>
      <w:r w:rsidR="006F19D1" w:rsidRPr="006F19D1">
        <w:t xml:space="preserve">investment policies with incentives that make it faster and easier </w:t>
      </w:r>
      <w:r w:rsidR="006F19D1">
        <w:t>to</w:t>
      </w:r>
      <w:r w:rsidR="006F19D1" w:rsidRPr="006F19D1">
        <w:t xml:space="preserve"> do business</w:t>
      </w:r>
      <w:r w:rsidR="00AE3EF5">
        <w:t xml:space="preserve"> in both countries.</w:t>
      </w:r>
    </w:p>
    <w:p w:rsidR="00653280" w:rsidRDefault="00653280" w:rsidP="00BF414A"/>
    <w:p w:rsidR="00653280" w:rsidRDefault="00653280" w:rsidP="00BF414A">
      <w:r w:rsidRPr="006D54B3">
        <w:rPr>
          <w:b/>
          <w:bCs/>
        </w:rPr>
        <w:t>Cross border trade</w:t>
      </w:r>
      <w:r>
        <w:t>:</w:t>
      </w:r>
    </w:p>
    <w:p w:rsidR="00653280" w:rsidRDefault="00653280" w:rsidP="00BF414A">
      <w:r>
        <w:t>GOU has over the years worked with development partners to improve border infrastructure at Elegu-Nimule border. We know how important Nimule border is for South Sudan as the main artery that feeds South Sudan.</w:t>
      </w:r>
      <w:r w:rsidR="004703DC">
        <w:t xml:space="preserve"> Most of the imports for SS go through the land border at Nimule-Elegu. </w:t>
      </w:r>
      <w:r>
        <w:t xml:space="preserve"> GOU, under the EAC Common Market Protocol has collaborated with GOSS to expediate clearance of goods and people at Elegu-Nimule border. We appeal to institutions in SS to effectively use the </w:t>
      </w:r>
      <w:r w:rsidR="00223187">
        <w:t>Nimule</w:t>
      </w:r>
      <w:r>
        <w:t xml:space="preserve">-Elegu border to </w:t>
      </w:r>
      <w:r w:rsidR="004703DC">
        <w:t xml:space="preserve">implement once stop controls. Furthermore, we look forward to working with GOSS to reduce the Non-Tariff Barriers along the Nimule-Juba trading corridor.   </w:t>
      </w:r>
      <w:r>
        <w:t xml:space="preserve">  </w:t>
      </w:r>
    </w:p>
    <w:p w:rsidR="009C75EF" w:rsidRDefault="009C75EF" w:rsidP="00BF414A"/>
    <w:p w:rsidR="009C75EF" w:rsidRPr="009C75EF" w:rsidRDefault="009C75EF" w:rsidP="009C75EF">
      <w:pPr>
        <w:rPr>
          <w:b/>
          <w:bCs/>
        </w:rPr>
      </w:pPr>
      <w:r w:rsidRPr="009C75EF">
        <w:rPr>
          <w:b/>
          <w:bCs/>
        </w:rPr>
        <w:t>Tourism</w:t>
      </w:r>
    </w:p>
    <w:p w:rsidR="009C75EF" w:rsidRDefault="009C75EF" w:rsidP="009C75EF">
      <w:r>
        <w:t>Allow me to mention here</w:t>
      </w:r>
      <w:r w:rsidR="00130F45">
        <w:t xml:space="preserve"> also </w:t>
      </w:r>
      <w:r>
        <w:t xml:space="preserve">that </w:t>
      </w:r>
      <w:r w:rsidR="00130F45">
        <w:t xml:space="preserve">Uganda is </w:t>
      </w:r>
      <w:r w:rsidR="00130F45" w:rsidRPr="00130F45">
        <w:t>truly and fondly known as the Pearl of Africa</w:t>
      </w:r>
      <w:r w:rsidR="00130F45">
        <w:t xml:space="preserve">, which am sure some of you have visited and are welcome to continue to visit. Uganda </w:t>
      </w:r>
      <w:r w:rsidR="00AE3EF5">
        <w:t>boasts</w:t>
      </w:r>
      <w:r w:rsidR="00130F45">
        <w:t xml:space="preserve"> of some of the top Universities in Africa (over 20 universities), </w:t>
      </w:r>
      <w:r w:rsidR="00AE3EF5">
        <w:t>t</w:t>
      </w:r>
      <w:r w:rsidR="00130F45">
        <w:t xml:space="preserve">op </w:t>
      </w:r>
      <w:r w:rsidR="00AE3EF5">
        <w:t>H</w:t>
      </w:r>
      <w:r w:rsidR="00130F45">
        <w:t xml:space="preserve">ospitals and growing health services sector that you </w:t>
      </w:r>
      <w:r w:rsidR="000E6781">
        <w:t>should take advantage in your neighborhood,  the</w:t>
      </w:r>
      <w:r w:rsidR="00130F45">
        <w:t xml:space="preserve"> young and talented ICT experts that are developing </w:t>
      </w:r>
      <w:r w:rsidR="004F39EC">
        <w:t>unique and practical applications to solve Africa’s problems</w:t>
      </w:r>
      <w:r w:rsidR="000E6781">
        <w:t>,</w:t>
      </w:r>
      <w:r w:rsidR="004F39EC">
        <w:t xml:space="preserve"> a growing creatives</w:t>
      </w:r>
      <w:r w:rsidR="000E6781">
        <w:t xml:space="preserve"> (artists)</w:t>
      </w:r>
      <w:r w:rsidR="004F39EC">
        <w:t xml:space="preserve"> and innovation sector that lights up our entertainment space and finally a well endowed country with beautiful rich natural scenery that calm</w:t>
      </w:r>
      <w:r w:rsidR="000E6781">
        <w:t>s</w:t>
      </w:r>
      <w:r w:rsidR="004F39EC">
        <w:t xml:space="preserve"> you down as you tour Uganda the Pearl of Africa.</w:t>
      </w:r>
    </w:p>
    <w:p w:rsidR="004F39EC" w:rsidRDefault="004F39EC" w:rsidP="009C75EF"/>
    <w:p w:rsidR="003107AF" w:rsidRDefault="00E66703" w:rsidP="005F441D">
      <w:r w:rsidRPr="00245EB6">
        <w:t xml:space="preserve">I wish to </w:t>
      </w:r>
      <w:r w:rsidR="00834361" w:rsidRPr="00245EB6">
        <w:t xml:space="preserve">express my gratitude </w:t>
      </w:r>
      <w:r w:rsidR="005F441D">
        <w:t xml:space="preserve">to the </w:t>
      </w:r>
      <w:r w:rsidRPr="00245EB6">
        <w:t xml:space="preserve">Republic </w:t>
      </w:r>
      <w:r w:rsidR="005F441D">
        <w:t xml:space="preserve">South Sudan for the support and dedication to ensuring a peaceful business environment. </w:t>
      </w:r>
      <w:r w:rsidR="00834361" w:rsidRPr="00245EB6">
        <w:t xml:space="preserve">We attach great importance to the friendly </w:t>
      </w:r>
      <w:r w:rsidR="004B612C">
        <w:t xml:space="preserve">and </w:t>
      </w:r>
      <w:r w:rsidR="003107AF">
        <w:t xml:space="preserve">mutually beneficial relations </w:t>
      </w:r>
      <w:r w:rsidR="00834361" w:rsidRPr="00245EB6">
        <w:t xml:space="preserve">with </w:t>
      </w:r>
      <w:r w:rsidR="005F441D">
        <w:t>South Sudan in</w:t>
      </w:r>
      <w:r w:rsidR="00834361" w:rsidRPr="00245EB6">
        <w:t xml:space="preserve"> economic development</w:t>
      </w:r>
      <w:r w:rsidR="005F441D">
        <w:t xml:space="preserve"> that </w:t>
      </w:r>
      <w:r w:rsidR="005F441D" w:rsidRPr="00245EB6">
        <w:t>has</w:t>
      </w:r>
      <w:r w:rsidR="00393193" w:rsidRPr="00245EB6">
        <w:t xml:space="preserve"> not only contributed to the country’s development but has also built confidence among </w:t>
      </w:r>
      <w:r w:rsidR="005F441D">
        <w:t>our people</w:t>
      </w:r>
      <w:r w:rsidR="00393193" w:rsidRPr="00245EB6">
        <w:t xml:space="preserve">. </w:t>
      </w:r>
      <w:r w:rsidR="002229D4" w:rsidRPr="00245EB6">
        <w:t xml:space="preserve">I </w:t>
      </w:r>
      <w:r w:rsidR="00184F66" w:rsidRPr="00245EB6">
        <w:t xml:space="preserve">therefore </w:t>
      </w:r>
      <w:r w:rsidR="002229D4" w:rsidRPr="00245EB6">
        <w:t xml:space="preserve">call upon </w:t>
      </w:r>
      <w:r w:rsidR="005F441D">
        <w:t xml:space="preserve">you all to closely engage in these 3 </w:t>
      </w:r>
      <w:r w:rsidR="000A77FE">
        <w:t xml:space="preserve">days </w:t>
      </w:r>
      <w:r w:rsidR="000E6781">
        <w:t xml:space="preserve">while in Juba </w:t>
      </w:r>
      <w:r w:rsidR="000A77FE" w:rsidRPr="00245EB6">
        <w:t>to</w:t>
      </w:r>
      <w:r w:rsidR="005F441D">
        <w:t xml:space="preserve"> </w:t>
      </w:r>
      <w:r w:rsidR="002229D4" w:rsidRPr="00245EB6">
        <w:t xml:space="preserve">learn more </w:t>
      </w:r>
      <w:r w:rsidR="005F441D">
        <w:t xml:space="preserve">from each other </w:t>
      </w:r>
      <w:r w:rsidR="000A77FE">
        <w:t>and build lasting business relations.</w:t>
      </w:r>
    </w:p>
    <w:p w:rsidR="000A77FE" w:rsidRDefault="000A77FE" w:rsidP="005F441D"/>
    <w:p w:rsidR="00245EB6" w:rsidRDefault="003107AF" w:rsidP="000A77FE">
      <w:r>
        <w:t xml:space="preserve">I wish you all participants enriching experience in </w:t>
      </w:r>
      <w:r w:rsidR="000A77FE">
        <w:t>Juba</w:t>
      </w:r>
    </w:p>
    <w:p w:rsidR="000A77FE" w:rsidRPr="00245EB6" w:rsidRDefault="000A77FE" w:rsidP="000A77FE"/>
    <w:p w:rsidR="00CD48D0" w:rsidRDefault="00915A7D" w:rsidP="000A77FE">
      <w:r w:rsidRPr="00245EB6">
        <w:t>Thank you</w:t>
      </w:r>
      <w:r w:rsidR="00245EB6" w:rsidRPr="00245EB6">
        <w:t xml:space="preserve"> </w:t>
      </w:r>
      <w:r w:rsidR="00F67167" w:rsidRPr="00245EB6">
        <w:t>For God and M</w:t>
      </w:r>
      <w:r w:rsidRPr="00245EB6">
        <w:t>y country</w:t>
      </w:r>
      <w:r w:rsidR="00EC3391" w:rsidRPr="00245EB6">
        <w:t xml:space="preserve"> </w:t>
      </w:r>
    </w:p>
    <w:p w:rsidR="00506862" w:rsidRDefault="00506862" w:rsidP="000A77FE"/>
    <w:p w:rsidR="00506862" w:rsidRDefault="00506862" w:rsidP="000A77FE"/>
    <w:p w:rsidR="00506862" w:rsidRDefault="00506862" w:rsidP="000A77FE"/>
    <w:sectPr w:rsidR="00506862" w:rsidSect="002726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406" w:rsidRDefault="002F4406" w:rsidP="00F51413">
      <w:r>
        <w:separator/>
      </w:r>
    </w:p>
  </w:endnote>
  <w:endnote w:type="continuationSeparator" w:id="0">
    <w:p w:rsidR="002F4406" w:rsidRDefault="002F4406" w:rsidP="00F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14E" w:rsidRDefault="0070314E" w:rsidP="00F514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0314E" w:rsidRDefault="0070314E" w:rsidP="00F51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406" w:rsidRDefault="002F4406" w:rsidP="00F51413">
      <w:r>
        <w:separator/>
      </w:r>
    </w:p>
  </w:footnote>
  <w:footnote w:type="continuationSeparator" w:id="0">
    <w:p w:rsidR="002F4406" w:rsidRDefault="002F4406" w:rsidP="00F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CA"/>
    <w:multiLevelType w:val="hybridMultilevel"/>
    <w:tmpl w:val="7EA647B2"/>
    <w:lvl w:ilvl="0" w:tplc="7856FBD2">
      <w:start w:val="2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A05"/>
    <w:multiLevelType w:val="hybridMultilevel"/>
    <w:tmpl w:val="48B6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4C4B"/>
    <w:multiLevelType w:val="hybridMultilevel"/>
    <w:tmpl w:val="D1CACD64"/>
    <w:lvl w:ilvl="0" w:tplc="409C304A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9812A99"/>
    <w:multiLevelType w:val="hybridMultilevel"/>
    <w:tmpl w:val="4478267A"/>
    <w:lvl w:ilvl="0" w:tplc="2AA0C048">
      <w:start w:val="4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F8569F6"/>
    <w:multiLevelType w:val="hybridMultilevel"/>
    <w:tmpl w:val="6F1AD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A6D"/>
    <w:multiLevelType w:val="hybridMultilevel"/>
    <w:tmpl w:val="665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6ADC"/>
    <w:multiLevelType w:val="hybridMultilevel"/>
    <w:tmpl w:val="93C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E536F"/>
    <w:multiLevelType w:val="hybridMultilevel"/>
    <w:tmpl w:val="E32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1DEB"/>
    <w:multiLevelType w:val="hybridMultilevel"/>
    <w:tmpl w:val="D5000306"/>
    <w:lvl w:ilvl="0" w:tplc="F9A4AC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58C4001"/>
    <w:multiLevelType w:val="hybridMultilevel"/>
    <w:tmpl w:val="3EB289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7073187">
    <w:abstractNumId w:val="0"/>
  </w:num>
  <w:num w:numId="2" w16cid:durableId="1957641673">
    <w:abstractNumId w:val="4"/>
  </w:num>
  <w:num w:numId="3" w16cid:durableId="448354548">
    <w:abstractNumId w:val="1"/>
  </w:num>
  <w:num w:numId="4" w16cid:durableId="1574657087">
    <w:abstractNumId w:val="6"/>
  </w:num>
  <w:num w:numId="5" w16cid:durableId="864975942">
    <w:abstractNumId w:val="2"/>
  </w:num>
  <w:num w:numId="6" w16cid:durableId="1341661366">
    <w:abstractNumId w:val="3"/>
  </w:num>
  <w:num w:numId="7" w16cid:durableId="362024839">
    <w:abstractNumId w:val="5"/>
  </w:num>
  <w:num w:numId="8" w16cid:durableId="1847673799">
    <w:abstractNumId w:val="7"/>
  </w:num>
  <w:num w:numId="9" w16cid:durableId="1573655745">
    <w:abstractNumId w:val="8"/>
  </w:num>
  <w:num w:numId="10" w16cid:durableId="1519004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D0"/>
    <w:rsid w:val="000008F0"/>
    <w:rsid w:val="000013AF"/>
    <w:rsid w:val="00005B63"/>
    <w:rsid w:val="00007E1C"/>
    <w:rsid w:val="0001666D"/>
    <w:rsid w:val="0001783D"/>
    <w:rsid w:val="00027FC3"/>
    <w:rsid w:val="000475CE"/>
    <w:rsid w:val="00047DB1"/>
    <w:rsid w:val="00054731"/>
    <w:rsid w:val="00054F55"/>
    <w:rsid w:val="000572E9"/>
    <w:rsid w:val="00057A9F"/>
    <w:rsid w:val="0006300A"/>
    <w:rsid w:val="0007142D"/>
    <w:rsid w:val="00077FB9"/>
    <w:rsid w:val="00083AE6"/>
    <w:rsid w:val="000858EA"/>
    <w:rsid w:val="00086895"/>
    <w:rsid w:val="00090759"/>
    <w:rsid w:val="00091A9A"/>
    <w:rsid w:val="00095286"/>
    <w:rsid w:val="00095938"/>
    <w:rsid w:val="000A77FE"/>
    <w:rsid w:val="000B20E3"/>
    <w:rsid w:val="000C002F"/>
    <w:rsid w:val="000C60DE"/>
    <w:rsid w:val="000D54E3"/>
    <w:rsid w:val="000D5F8B"/>
    <w:rsid w:val="000E1A10"/>
    <w:rsid w:val="000E1E00"/>
    <w:rsid w:val="000E2533"/>
    <w:rsid w:val="000E2EEB"/>
    <w:rsid w:val="000E64FC"/>
    <w:rsid w:val="000E6781"/>
    <w:rsid w:val="000F4C43"/>
    <w:rsid w:val="000F7FE4"/>
    <w:rsid w:val="00100AF5"/>
    <w:rsid w:val="00106E30"/>
    <w:rsid w:val="00113D95"/>
    <w:rsid w:val="00116047"/>
    <w:rsid w:val="001253FE"/>
    <w:rsid w:val="00126C33"/>
    <w:rsid w:val="00130F45"/>
    <w:rsid w:val="0015513C"/>
    <w:rsid w:val="001564B7"/>
    <w:rsid w:val="00157E50"/>
    <w:rsid w:val="00161238"/>
    <w:rsid w:val="00161ED7"/>
    <w:rsid w:val="0016506F"/>
    <w:rsid w:val="0016551D"/>
    <w:rsid w:val="00166693"/>
    <w:rsid w:val="00167E8B"/>
    <w:rsid w:val="00172385"/>
    <w:rsid w:val="001739C3"/>
    <w:rsid w:val="00177F6B"/>
    <w:rsid w:val="00181E32"/>
    <w:rsid w:val="00184F66"/>
    <w:rsid w:val="0018702A"/>
    <w:rsid w:val="001A7AD2"/>
    <w:rsid w:val="001B13AB"/>
    <w:rsid w:val="001B6098"/>
    <w:rsid w:val="001C6B82"/>
    <w:rsid w:val="001D69B5"/>
    <w:rsid w:val="001E67DA"/>
    <w:rsid w:val="001F2440"/>
    <w:rsid w:val="001F4BA3"/>
    <w:rsid w:val="001F613C"/>
    <w:rsid w:val="001F6A23"/>
    <w:rsid w:val="001F7893"/>
    <w:rsid w:val="002104F9"/>
    <w:rsid w:val="00210CCF"/>
    <w:rsid w:val="00217DBE"/>
    <w:rsid w:val="002229D4"/>
    <w:rsid w:val="00223187"/>
    <w:rsid w:val="002244B1"/>
    <w:rsid w:val="002368DB"/>
    <w:rsid w:val="00244A56"/>
    <w:rsid w:val="00245EB6"/>
    <w:rsid w:val="002621F9"/>
    <w:rsid w:val="00266C2C"/>
    <w:rsid w:val="00267E1D"/>
    <w:rsid w:val="002726C5"/>
    <w:rsid w:val="00290C24"/>
    <w:rsid w:val="00291798"/>
    <w:rsid w:val="00296FD1"/>
    <w:rsid w:val="002A38FC"/>
    <w:rsid w:val="002B49F7"/>
    <w:rsid w:val="002C0DB7"/>
    <w:rsid w:val="002C2BA8"/>
    <w:rsid w:val="002D78F0"/>
    <w:rsid w:val="002E057A"/>
    <w:rsid w:val="002E30C6"/>
    <w:rsid w:val="002F4406"/>
    <w:rsid w:val="002F62F0"/>
    <w:rsid w:val="002F732A"/>
    <w:rsid w:val="00303D6B"/>
    <w:rsid w:val="00307BB7"/>
    <w:rsid w:val="00307E3A"/>
    <w:rsid w:val="00310092"/>
    <w:rsid w:val="003107AF"/>
    <w:rsid w:val="00314D26"/>
    <w:rsid w:val="00331040"/>
    <w:rsid w:val="0033553E"/>
    <w:rsid w:val="003371FE"/>
    <w:rsid w:val="0034005A"/>
    <w:rsid w:val="00345BFC"/>
    <w:rsid w:val="003570A2"/>
    <w:rsid w:val="003837FF"/>
    <w:rsid w:val="00385B6E"/>
    <w:rsid w:val="00387CBB"/>
    <w:rsid w:val="00393193"/>
    <w:rsid w:val="003A3261"/>
    <w:rsid w:val="003B7662"/>
    <w:rsid w:val="003C3F04"/>
    <w:rsid w:val="003C4AFE"/>
    <w:rsid w:val="003C74B4"/>
    <w:rsid w:val="003D391C"/>
    <w:rsid w:val="003D7CEB"/>
    <w:rsid w:val="003E2A14"/>
    <w:rsid w:val="003E468F"/>
    <w:rsid w:val="003F310C"/>
    <w:rsid w:val="003F5902"/>
    <w:rsid w:val="00406FF0"/>
    <w:rsid w:val="004114DA"/>
    <w:rsid w:val="00413B9B"/>
    <w:rsid w:val="0041462F"/>
    <w:rsid w:val="004221F3"/>
    <w:rsid w:val="0043429E"/>
    <w:rsid w:val="004411BF"/>
    <w:rsid w:val="00446574"/>
    <w:rsid w:val="00463E1B"/>
    <w:rsid w:val="00465F8D"/>
    <w:rsid w:val="004703DC"/>
    <w:rsid w:val="0047334A"/>
    <w:rsid w:val="00482874"/>
    <w:rsid w:val="00484B79"/>
    <w:rsid w:val="00490F19"/>
    <w:rsid w:val="00491226"/>
    <w:rsid w:val="00494782"/>
    <w:rsid w:val="004976A6"/>
    <w:rsid w:val="004B58CE"/>
    <w:rsid w:val="004B612C"/>
    <w:rsid w:val="004C1CB1"/>
    <w:rsid w:val="004C329B"/>
    <w:rsid w:val="004D252C"/>
    <w:rsid w:val="004D7AD8"/>
    <w:rsid w:val="004E49A3"/>
    <w:rsid w:val="004F1307"/>
    <w:rsid w:val="004F39EC"/>
    <w:rsid w:val="004F5714"/>
    <w:rsid w:val="004F73A4"/>
    <w:rsid w:val="0050547F"/>
    <w:rsid w:val="00506862"/>
    <w:rsid w:val="005079BE"/>
    <w:rsid w:val="005362D7"/>
    <w:rsid w:val="005655AE"/>
    <w:rsid w:val="005779EB"/>
    <w:rsid w:val="0058458F"/>
    <w:rsid w:val="005A5720"/>
    <w:rsid w:val="005A70C7"/>
    <w:rsid w:val="005B4355"/>
    <w:rsid w:val="005D5250"/>
    <w:rsid w:val="005E59F5"/>
    <w:rsid w:val="005E66AA"/>
    <w:rsid w:val="005F0181"/>
    <w:rsid w:val="005F1CBA"/>
    <w:rsid w:val="005F441D"/>
    <w:rsid w:val="005F5949"/>
    <w:rsid w:val="00604BA5"/>
    <w:rsid w:val="00605FE7"/>
    <w:rsid w:val="0061423F"/>
    <w:rsid w:val="0062485A"/>
    <w:rsid w:val="00630D3A"/>
    <w:rsid w:val="00634153"/>
    <w:rsid w:val="006479FB"/>
    <w:rsid w:val="00650B9A"/>
    <w:rsid w:val="00653280"/>
    <w:rsid w:val="006647C0"/>
    <w:rsid w:val="0066633A"/>
    <w:rsid w:val="00672A4E"/>
    <w:rsid w:val="0068083A"/>
    <w:rsid w:val="00682647"/>
    <w:rsid w:val="006842EE"/>
    <w:rsid w:val="00693523"/>
    <w:rsid w:val="0069715E"/>
    <w:rsid w:val="006976A2"/>
    <w:rsid w:val="006D29ED"/>
    <w:rsid w:val="006D3B7E"/>
    <w:rsid w:val="006D54B3"/>
    <w:rsid w:val="006F19D1"/>
    <w:rsid w:val="006F1DCC"/>
    <w:rsid w:val="006F2116"/>
    <w:rsid w:val="006F7247"/>
    <w:rsid w:val="00700EF6"/>
    <w:rsid w:val="0070314E"/>
    <w:rsid w:val="00714E7B"/>
    <w:rsid w:val="00715CE4"/>
    <w:rsid w:val="007209C8"/>
    <w:rsid w:val="00720D41"/>
    <w:rsid w:val="007218A6"/>
    <w:rsid w:val="00755D96"/>
    <w:rsid w:val="0076043F"/>
    <w:rsid w:val="00764B76"/>
    <w:rsid w:val="007702D0"/>
    <w:rsid w:val="007845EF"/>
    <w:rsid w:val="007A2FB1"/>
    <w:rsid w:val="007A4665"/>
    <w:rsid w:val="007A785C"/>
    <w:rsid w:val="007B2F4F"/>
    <w:rsid w:val="007C127A"/>
    <w:rsid w:val="007D3730"/>
    <w:rsid w:val="007D4013"/>
    <w:rsid w:val="007E114D"/>
    <w:rsid w:val="007E54DC"/>
    <w:rsid w:val="007F6E84"/>
    <w:rsid w:val="007F7967"/>
    <w:rsid w:val="007F7C52"/>
    <w:rsid w:val="00803EAB"/>
    <w:rsid w:val="0081060B"/>
    <w:rsid w:val="008142A5"/>
    <w:rsid w:val="00817259"/>
    <w:rsid w:val="0082113F"/>
    <w:rsid w:val="00821CA8"/>
    <w:rsid w:val="00833417"/>
    <w:rsid w:val="00834361"/>
    <w:rsid w:val="008360CB"/>
    <w:rsid w:val="00844E87"/>
    <w:rsid w:val="00850342"/>
    <w:rsid w:val="008555AB"/>
    <w:rsid w:val="0085732B"/>
    <w:rsid w:val="008628B3"/>
    <w:rsid w:val="00863704"/>
    <w:rsid w:val="00863C0B"/>
    <w:rsid w:val="00870395"/>
    <w:rsid w:val="008720E7"/>
    <w:rsid w:val="00872449"/>
    <w:rsid w:val="008817B1"/>
    <w:rsid w:val="008A49FF"/>
    <w:rsid w:val="008A5873"/>
    <w:rsid w:val="008B0481"/>
    <w:rsid w:val="008B1271"/>
    <w:rsid w:val="008B6BE9"/>
    <w:rsid w:val="008C05A2"/>
    <w:rsid w:val="008C283C"/>
    <w:rsid w:val="008C7DEB"/>
    <w:rsid w:val="008D4120"/>
    <w:rsid w:val="008E1CC1"/>
    <w:rsid w:val="00901A42"/>
    <w:rsid w:val="00906700"/>
    <w:rsid w:val="009122F2"/>
    <w:rsid w:val="00914C16"/>
    <w:rsid w:val="00915A7D"/>
    <w:rsid w:val="00917066"/>
    <w:rsid w:val="00921BB1"/>
    <w:rsid w:val="0092647E"/>
    <w:rsid w:val="009312C6"/>
    <w:rsid w:val="00943607"/>
    <w:rsid w:val="009438FA"/>
    <w:rsid w:val="0094436C"/>
    <w:rsid w:val="00945E8A"/>
    <w:rsid w:val="009476B3"/>
    <w:rsid w:val="0095468D"/>
    <w:rsid w:val="009574B3"/>
    <w:rsid w:val="00966B96"/>
    <w:rsid w:val="00970457"/>
    <w:rsid w:val="00972FF4"/>
    <w:rsid w:val="00973D18"/>
    <w:rsid w:val="00973EDA"/>
    <w:rsid w:val="00975E66"/>
    <w:rsid w:val="0097653B"/>
    <w:rsid w:val="00990839"/>
    <w:rsid w:val="009A2374"/>
    <w:rsid w:val="009A2FD6"/>
    <w:rsid w:val="009B06FE"/>
    <w:rsid w:val="009B3314"/>
    <w:rsid w:val="009C494C"/>
    <w:rsid w:val="009C75EF"/>
    <w:rsid w:val="009D2E8B"/>
    <w:rsid w:val="009E316F"/>
    <w:rsid w:val="009E40BB"/>
    <w:rsid w:val="009E4DA3"/>
    <w:rsid w:val="009F1304"/>
    <w:rsid w:val="00A01F81"/>
    <w:rsid w:val="00A03BE2"/>
    <w:rsid w:val="00A04C3E"/>
    <w:rsid w:val="00A066D5"/>
    <w:rsid w:val="00A077F3"/>
    <w:rsid w:val="00A1228A"/>
    <w:rsid w:val="00A1544A"/>
    <w:rsid w:val="00A24424"/>
    <w:rsid w:val="00A30ABC"/>
    <w:rsid w:val="00A33354"/>
    <w:rsid w:val="00A362EF"/>
    <w:rsid w:val="00A538A7"/>
    <w:rsid w:val="00A57F2D"/>
    <w:rsid w:val="00A705C2"/>
    <w:rsid w:val="00A76780"/>
    <w:rsid w:val="00A96EB7"/>
    <w:rsid w:val="00AA345E"/>
    <w:rsid w:val="00AB54E8"/>
    <w:rsid w:val="00AB59DC"/>
    <w:rsid w:val="00AE0425"/>
    <w:rsid w:val="00AE2ED2"/>
    <w:rsid w:val="00AE35E9"/>
    <w:rsid w:val="00AE3EF5"/>
    <w:rsid w:val="00AF4239"/>
    <w:rsid w:val="00AF493D"/>
    <w:rsid w:val="00AF6F43"/>
    <w:rsid w:val="00B0246E"/>
    <w:rsid w:val="00B069FB"/>
    <w:rsid w:val="00B12869"/>
    <w:rsid w:val="00B213FA"/>
    <w:rsid w:val="00B25A42"/>
    <w:rsid w:val="00B33A11"/>
    <w:rsid w:val="00B4427B"/>
    <w:rsid w:val="00B45CDE"/>
    <w:rsid w:val="00B51916"/>
    <w:rsid w:val="00B53076"/>
    <w:rsid w:val="00B56C9F"/>
    <w:rsid w:val="00B67D35"/>
    <w:rsid w:val="00B7087F"/>
    <w:rsid w:val="00B80327"/>
    <w:rsid w:val="00B87BC8"/>
    <w:rsid w:val="00B961D0"/>
    <w:rsid w:val="00BA1E87"/>
    <w:rsid w:val="00BB5043"/>
    <w:rsid w:val="00BC030A"/>
    <w:rsid w:val="00BC4C20"/>
    <w:rsid w:val="00BC7378"/>
    <w:rsid w:val="00BD1AD6"/>
    <w:rsid w:val="00BD57DB"/>
    <w:rsid w:val="00BD592B"/>
    <w:rsid w:val="00BD691F"/>
    <w:rsid w:val="00BF0A42"/>
    <w:rsid w:val="00BF414A"/>
    <w:rsid w:val="00C14E5D"/>
    <w:rsid w:val="00C253B0"/>
    <w:rsid w:val="00C36084"/>
    <w:rsid w:val="00C461F1"/>
    <w:rsid w:val="00C47EC9"/>
    <w:rsid w:val="00C5010A"/>
    <w:rsid w:val="00C542BF"/>
    <w:rsid w:val="00C55645"/>
    <w:rsid w:val="00C66101"/>
    <w:rsid w:val="00C70353"/>
    <w:rsid w:val="00C71B5B"/>
    <w:rsid w:val="00C74230"/>
    <w:rsid w:val="00C811F7"/>
    <w:rsid w:val="00C86AEC"/>
    <w:rsid w:val="00C91B48"/>
    <w:rsid w:val="00C94989"/>
    <w:rsid w:val="00C97EA5"/>
    <w:rsid w:val="00CB71B5"/>
    <w:rsid w:val="00CC6C87"/>
    <w:rsid w:val="00CD48D0"/>
    <w:rsid w:val="00CF7AC1"/>
    <w:rsid w:val="00D029F3"/>
    <w:rsid w:val="00D07B4E"/>
    <w:rsid w:val="00D100D4"/>
    <w:rsid w:val="00D232DB"/>
    <w:rsid w:val="00D34004"/>
    <w:rsid w:val="00D34113"/>
    <w:rsid w:val="00D42361"/>
    <w:rsid w:val="00D53894"/>
    <w:rsid w:val="00D614E2"/>
    <w:rsid w:val="00D84867"/>
    <w:rsid w:val="00D861FC"/>
    <w:rsid w:val="00D862ED"/>
    <w:rsid w:val="00D925DF"/>
    <w:rsid w:val="00D947EA"/>
    <w:rsid w:val="00DC399C"/>
    <w:rsid w:val="00DC41D7"/>
    <w:rsid w:val="00DC6A70"/>
    <w:rsid w:val="00DD22DE"/>
    <w:rsid w:val="00DD34A9"/>
    <w:rsid w:val="00DD45C4"/>
    <w:rsid w:val="00DD722E"/>
    <w:rsid w:val="00DF64A0"/>
    <w:rsid w:val="00E10584"/>
    <w:rsid w:val="00E14430"/>
    <w:rsid w:val="00E17C20"/>
    <w:rsid w:val="00E20900"/>
    <w:rsid w:val="00E3388C"/>
    <w:rsid w:val="00E37131"/>
    <w:rsid w:val="00E37399"/>
    <w:rsid w:val="00E43B80"/>
    <w:rsid w:val="00E5238E"/>
    <w:rsid w:val="00E6318A"/>
    <w:rsid w:val="00E637DB"/>
    <w:rsid w:val="00E66703"/>
    <w:rsid w:val="00E71891"/>
    <w:rsid w:val="00E768F0"/>
    <w:rsid w:val="00E8035F"/>
    <w:rsid w:val="00E9282C"/>
    <w:rsid w:val="00E95655"/>
    <w:rsid w:val="00E965E4"/>
    <w:rsid w:val="00EA54AF"/>
    <w:rsid w:val="00EC3391"/>
    <w:rsid w:val="00EC650E"/>
    <w:rsid w:val="00ED4B4B"/>
    <w:rsid w:val="00EF0984"/>
    <w:rsid w:val="00EF67A2"/>
    <w:rsid w:val="00F222FA"/>
    <w:rsid w:val="00F30BE1"/>
    <w:rsid w:val="00F34E3F"/>
    <w:rsid w:val="00F3752C"/>
    <w:rsid w:val="00F51413"/>
    <w:rsid w:val="00F67167"/>
    <w:rsid w:val="00F70239"/>
    <w:rsid w:val="00F762B9"/>
    <w:rsid w:val="00F80B51"/>
    <w:rsid w:val="00F82AFB"/>
    <w:rsid w:val="00F84367"/>
    <w:rsid w:val="00F965D1"/>
    <w:rsid w:val="00FC19B7"/>
    <w:rsid w:val="00FC62A7"/>
    <w:rsid w:val="00FC637B"/>
    <w:rsid w:val="00FD7E2A"/>
    <w:rsid w:val="00FE1DA0"/>
    <w:rsid w:val="00FE27B0"/>
    <w:rsid w:val="00FF203E"/>
    <w:rsid w:val="00FF5DD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27A0A1"/>
  <w15:chartTrackingRefBased/>
  <w15:docId w15:val="{91D2B50B-D574-0C41-AF42-CED8D87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14A"/>
    <w:pPr>
      <w:jc w:val="both"/>
    </w:pPr>
    <w:rPr>
      <w:rFonts w:ascii="Tahoma" w:hAnsi="Tahom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22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15A7D"/>
    <w:rPr>
      <w:rFonts w:cs="Tahoma"/>
      <w:sz w:val="28"/>
    </w:rPr>
  </w:style>
  <w:style w:type="character" w:customStyle="1" w:styleId="BodyTextChar">
    <w:name w:val="Body Text Char"/>
    <w:link w:val="BodyText"/>
    <w:rsid w:val="00915A7D"/>
    <w:rPr>
      <w:rFonts w:ascii="Tahoma" w:hAnsi="Tahoma" w:cs="Tahoma"/>
      <w:sz w:val="28"/>
      <w:szCs w:val="24"/>
    </w:rPr>
  </w:style>
  <w:style w:type="paragraph" w:styleId="Header">
    <w:name w:val="header"/>
    <w:basedOn w:val="Normal"/>
    <w:link w:val="HeaderChar"/>
    <w:rsid w:val="00703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14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74B3"/>
    <w:pPr>
      <w:spacing w:before="240" w:after="60"/>
      <w:jc w:val="center"/>
      <w:outlineLvl w:val="0"/>
    </w:pPr>
    <w:rPr>
      <w:b/>
      <w:bCs/>
      <w:caps/>
      <w:kern w:val="28"/>
      <w:sz w:val="26"/>
      <w:szCs w:val="32"/>
    </w:rPr>
  </w:style>
  <w:style w:type="character" w:customStyle="1" w:styleId="TitleChar">
    <w:name w:val="Title Char"/>
    <w:link w:val="Title"/>
    <w:rsid w:val="009574B3"/>
    <w:rPr>
      <w:rFonts w:ascii="Tahoma" w:eastAsia="Times New Roman" w:hAnsi="Tahoma" w:cs="Times New Roman"/>
      <w:b/>
      <w:bCs/>
      <w:caps/>
      <w:kern w:val="28"/>
      <w:sz w:val="26"/>
      <w:szCs w:val="32"/>
      <w:lang w:val="en-US" w:eastAsia="en-US"/>
    </w:rPr>
  </w:style>
  <w:style w:type="table" w:styleId="TableGrid">
    <w:name w:val="Table Grid"/>
    <w:basedOn w:val="TableNormal"/>
    <w:rsid w:val="0053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7E2A"/>
    <w:rPr>
      <w:rFonts w:ascii="Tahoma" w:hAnsi="Tahoma"/>
      <w:sz w:val="24"/>
      <w:szCs w:val="24"/>
      <w:lang w:val="en-US"/>
    </w:rPr>
  </w:style>
  <w:style w:type="character" w:styleId="CommentReference">
    <w:name w:val="annotation reference"/>
    <w:rsid w:val="00BD5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92B"/>
    <w:rPr>
      <w:sz w:val="20"/>
      <w:szCs w:val="20"/>
    </w:rPr>
  </w:style>
  <w:style w:type="character" w:customStyle="1" w:styleId="CommentTextChar">
    <w:name w:val="Comment Text Char"/>
    <w:link w:val="CommentText"/>
    <w:rsid w:val="00BD592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D592B"/>
    <w:rPr>
      <w:b/>
      <w:bCs/>
    </w:rPr>
  </w:style>
  <w:style w:type="character" w:customStyle="1" w:styleId="CommentSubjectChar">
    <w:name w:val="Comment Subject Char"/>
    <w:link w:val="CommentSubject"/>
    <w:rsid w:val="00BD592B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on CCTV by H</vt:lpstr>
    </vt:vector>
  </TitlesOfParts>
  <Company>UEPB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on CCTV by H</dc:title>
  <dc:subject/>
  <dc:creator>Grace</dc:creator>
  <cp:keywords/>
  <dc:description/>
  <cp:lastModifiedBy>Guest User</cp:lastModifiedBy>
  <cp:revision>2</cp:revision>
  <cp:lastPrinted>2010-01-11T10:51:00Z</cp:lastPrinted>
  <dcterms:created xsi:type="dcterms:W3CDTF">2022-07-19T09:47:00Z</dcterms:created>
  <dcterms:modified xsi:type="dcterms:W3CDTF">2022-07-19T09:47:00Z</dcterms:modified>
</cp:coreProperties>
</file>